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BD94" w14:textId="55319101" w:rsidR="00F02483" w:rsidRDefault="002D345D" w:rsidP="00F02483">
      <w:pPr>
        <w:spacing w:line="288" w:lineRule="auto"/>
        <w:rPr>
          <w:b/>
        </w:rPr>
      </w:pPr>
      <w:r>
        <w:rPr>
          <w:b/>
        </w:rPr>
        <w:t>R</w:t>
      </w:r>
      <w:r w:rsidR="00F02483" w:rsidRPr="00014EE6">
        <w:rPr>
          <w:b/>
        </w:rPr>
        <w:t>eferences</w:t>
      </w:r>
      <w:r w:rsidR="00F02483">
        <w:rPr>
          <w:b/>
        </w:rPr>
        <w:t xml:space="preserve"> </w:t>
      </w:r>
    </w:p>
    <w:p w14:paraId="1427B869" w14:textId="13089BE3" w:rsidR="00F02483" w:rsidRPr="00F02483" w:rsidRDefault="002E5E23" w:rsidP="00F02483">
      <w:pPr>
        <w:spacing w:line="288" w:lineRule="auto"/>
      </w:pPr>
      <w:r>
        <w:rPr>
          <w:b/>
        </w:rPr>
        <w:t>Chen, J</w:t>
      </w:r>
      <w:bookmarkStart w:id="0" w:name="_GoBack"/>
      <w:bookmarkEnd w:id="0"/>
      <w:r w:rsidR="00F02483" w:rsidRPr="00F02483">
        <w:rPr>
          <w:b/>
        </w:rPr>
        <w:t xml:space="preserve">. Brownell, J.O. and </w:t>
      </w:r>
      <w:proofErr w:type="spellStart"/>
      <w:r w:rsidR="00F02483" w:rsidRPr="00F02483">
        <w:rPr>
          <w:b/>
        </w:rPr>
        <w:t>Uttal</w:t>
      </w:r>
      <w:proofErr w:type="spellEnd"/>
      <w:r w:rsidR="00F02483" w:rsidRPr="00F02483">
        <w:rPr>
          <w:b/>
        </w:rPr>
        <w:t xml:space="preserve">, D. (2019). </w:t>
      </w:r>
      <w:r w:rsidR="00F02483" w:rsidRPr="00F02483">
        <w:t xml:space="preserve">The use of concrete objects in early mathematical learning. In </w:t>
      </w:r>
      <w:r w:rsidR="00F02483" w:rsidRPr="00F02483">
        <w:rPr>
          <w:i/>
          <w:iCs/>
        </w:rPr>
        <w:t xml:space="preserve">Growing Mathematical Minds: Conversations between developmental psychologists and early childhood teachers. </w:t>
      </w:r>
      <w:r w:rsidR="00F02483" w:rsidRPr="00F02483">
        <w:t xml:space="preserve">McCray, J.S., Chen, J. </w:t>
      </w:r>
      <w:proofErr w:type="spellStart"/>
      <w:r w:rsidR="00F02483" w:rsidRPr="00F02483">
        <w:t>Eisenband</w:t>
      </w:r>
      <w:proofErr w:type="spellEnd"/>
      <w:r w:rsidR="00F02483" w:rsidRPr="00F02483">
        <w:t xml:space="preserve"> Sorkin, J. (</w:t>
      </w:r>
      <w:proofErr w:type="spellStart"/>
      <w:r w:rsidR="00F02483" w:rsidRPr="00F02483">
        <w:t>Eds</w:t>
      </w:r>
      <w:proofErr w:type="spellEnd"/>
      <w:r w:rsidR="00F02483" w:rsidRPr="00F02483">
        <w:t>). New York: Routledge</w:t>
      </w:r>
    </w:p>
    <w:p w14:paraId="52DA42E6" w14:textId="77777777" w:rsidR="00F02483" w:rsidRPr="00F02483" w:rsidRDefault="00F02483" w:rsidP="00F02483">
      <w:pPr>
        <w:spacing w:line="288" w:lineRule="auto"/>
      </w:pPr>
      <w:r w:rsidRPr="00F02483">
        <w:rPr>
          <w:b/>
        </w:rPr>
        <w:t xml:space="preserve">Clements, D.H. (1999). </w:t>
      </w:r>
      <w:r w:rsidRPr="00F02483">
        <w:t>Subitising: What is it? Why teach it? </w:t>
      </w:r>
      <w:r w:rsidRPr="00F02483">
        <w:rPr>
          <w:i/>
          <w:iCs/>
        </w:rPr>
        <w:t>Teaching Children Mathematics, 5(7),</w:t>
      </w:r>
      <w:r w:rsidRPr="00F02483">
        <w:t xml:space="preserve"> 400-405</w:t>
      </w:r>
    </w:p>
    <w:p w14:paraId="1A455895" w14:textId="77777777" w:rsidR="00F02483" w:rsidRPr="00F02483" w:rsidRDefault="00F02483" w:rsidP="00F02483">
      <w:pPr>
        <w:spacing w:line="288" w:lineRule="auto"/>
      </w:pPr>
      <w:r w:rsidRPr="00F02483">
        <w:rPr>
          <w:b/>
        </w:rPr>
        <w:t xml:space="preserve">Clements D.H., Germeroth C. and Brittany Sovran B. (2015). </w:t>
      </w:r>
      <w:r w:rsidRPr="00F02483">
        <w:rPr>
          <w:i/>
          <w:iCs/>
        </w:rPr>
        <w:t>The building blocks of mathematics for infants and toddlers: An annotated bibliography for course developers</w:t>
      </w:r>
      <w:r w:rsidRPr="00F02483">
        <w:t xml:space="preserve">. Early Educator Central. Available at: </w:t>
      </w:r>
      <w:hyperlink r:id="rId6" w:history="1">
        <w:r w:rsidRPr="00F02483">
          <w:rPr>
            <w:rStyle w:val="Hyperlink"/>
          </w:rPr>
          <w:t>https://earlyeducatorcentral.acf.hhs.gov/sites/default/files/public/resources/The%20Building%20Blocks%20of%20Mathematics%20for%20Infants%20and%20Toddlers.pdf</w:t>
        </w:r>
      </w:hyperlink>
      <w:r w:rsidRPr="00F02483">
        <w:t xml:space="preserve"> </w:t>
      </w:r>
    </w:p>
    <w:p w14:paraId="5E9FC864" w14:textId="38C4AF07" w:rsidR="007D28E7" w:rsidRPr="007D28E7" w:rsidRDefault="007D28E7" w:rsidP="007D28E7">
      <w:pPr>
        <w:spacing w:line="288" w:lineRule="auto"/>
      </w:pPr>
      <w:r w:rsidRPr="007D28E7">
        <w:rPr>
          <w:b/>
        </w:rPr>
        <w:t>Gattegno, C (1964)</w:t>
      </w:r>
      <w:r>
        <w:rPr>
          <w:b/>
        </w:rPr>
        <w:t xml:space="preserve"> </w:t>
      </w:r>
      <w:r w:rsidRPr="000A499D">
        <w:t>The Cuisenaire Gattegno Method of Teaching Mathematics: A course for teachers, Vol.1. Reading: Educational Explorers Ltd.</w:t>
      </w:r>
    </w:p>
    <w:p w14:paraId="71641C99" w14:textId="77777777" w:rsidR="00F02483" w:rsidRPr="00F02483" w:rsidRDefault="00F02483" w:rsidP="00F02483">
      <w:pPr>
        <w:spacing w:line="288" w:lineRule="auto"/>
      </w:pPr>
      <w:r w:rsidRPr="00F02483">
        <w:rPr>
          <w:b/>
        </w:rPr>
        <w:t xml:space="preserve">Griffiths, R., Back, J. and Gifford, S. (2016). </w:t>
      </w:r>
      <w:r w:rsidRPr="00F02483">
        <w:rPr>
          <w:i/>
          <w:iCs/>
        </w:rPr>
        <w:t xml:space="preserve">Making Numbers: Using manipulatives to teach arithmetic. </w:t>
      </w:r>
      <w:r w:rsidRPr="00F02483">
        <w:t>Oxford: OUP</w:t>
      </w:r>
    </w:p>
    <w:p w14:paraId="302398D6" w14:textId="1BBE13A3" w:rsidR="000A499D" w:rsidRPr="000A499D" w:rsidRDefault="000A499D" w:rsidP="000A499D">
      <w:pPr>
        <w:spacing w:line="288" w:lineRule="auto"/>
      </w:pPr>
      <w:r w:rsidRPr="000A499D">
        <w:rPr>
          <w:b/>
        </w:rPr>
        <w:t xml:space="preserve">Joswick, Clements, Sarama, Banse &amp; Day-Hess </w:t>
      </w:r>
      <w:r>
        <w:rPr>
          <w:b/>
        </w:rPr>
        <w:t>(</w:t>
      </w:r>
      <w:r w:rsidRPr="000A499D">
        <w:rPr>
          <w:b/>
        </w:rPr>
        <w:t>2019</w:t>
      </w:r>
      <w:r>
        <w:rPr>
          <w:b/>
        </w:rPr>
        <w:t>)</w:t>
      </w:r>
      <w:r w:rsidRPr="000A499D">
        <w:t xml:space="preserve"> </w:t>
      </w:r>
      <w:hyperlink r:id="rId7" w:history="1">
        <w:r w:rsidRPr="000A499D">
          <w:rPr>
            <w:rStyle w:val="Hyperlink"/>
          </w:rPr>
          <w:t>Double Impact: Mathematics and Executive Function - National Council of Teachers of Mathematics (nctm.org)</w:t>
        </w:r>
      </w:hyperlink>
    </w:p>
    <w:p w14:paraId="28AA1CEF" w14:textId="6994AE2D" w:rsidR="00F02483" w:rsidRDefault="00F02483" w:rsidP="00F02483">
      <w:pPr>
        <w:spacing w:line="288" w:lineRule="auto"/>
        <w:rPr>
          <w:lang w:val="en-US"/>
        </w:rPr>
      </w:pPr>
      <w:r w:rsidRPr="00F02483">
        <w:rPr>
          <w:b/>
          <w:lang w:val="en-US"/>
        </w:rPr>
        <w:t xml:space="preserve">Nunes, T. and Bryant, P. (2009). </w:t>
      </w:r>
      <w:r w:rsidRPr="00F02483">
        <w:rPr>
          <w:lang w:val="en-US"/>
        </w:rPr>
        <w:t>Key Understandings in mathematics learning: Understanding whole numbers</w:t>
      </w:r>
    </w:p>
    <w:p w14:paraId="07EAD3E3" w14:textId="4B314864" w:rsidR="002D345D" w:rsidRPr="002D345D" w:rsidRDefault="002D345D" w:rsidP="00F02483">
      <w:pPr>
        <w:spacing w:line="288" w:lineRule="auto"/>
        <w:rPr>
          <w:i/>
        </w:rPr>
      </w:pPr>
      <w:r w:rsidRPr="00F02483">
        <w:rPr>
          <w:b/>
          <w:lang w:val="en-US"/>
        </w:rPr>
        <w:t>Trundley R.</w:t>
      </w:r>
      <w:r>
        <w:rPr>
          <w:b/>
          <w:lang w:val="en-US"/>
        </w:rPr>
        <w:t xml:space="preserve"> (2008). </w:t>
      </w:r>
      <w:r>
        <w:rPr>
          <w:i/>
          <w:lang w:val="en-US"/>
        </w:rPr>
        <w:t xml:space="preserve">The value of two </w:t>
      </w:r>
      <w:hyperlink r:id="rId8" w:history="1">
        <w:r>
          <w:rPr>
            <w:rStyle w:val="Hyperlink"/>
          </w:rPr>
          <w:t>The Value of Two (maths.org)</w:t>
        </w:r>
      </w:hyperlink>
    </w:p>
    <w:p w14:paraId="2124C056" w14:textId="77777777" w:rsidR="00F02483" w:rsidRPr="00F02483" w:rsidRDefault="00F02483" w:rsidP="00F02483">
      <w:pPr>
        <w:spacing w:line="288" w:lineRule="auto"/>
      </w:pPr>
      <w:r w:rsidRPr="00F02483">
        <w:rPr>
          <w:b/>
          <w:lang w:val="en-US"/>
        </w:rPr>
        <w:t xml:space="preserve">Trundley R. and Williams, H. J. (2019). </w:t>
      </w:r>
      <w:r w:rsidRPr="00F02483">
        <w:rPr>
          <w:i/>
          <w:iCs/>
          <w:lang w:val="en-US"/>
        </w:rPr>
        <w:t xml:space="preserve">Learning from Variation. </w:t>
      </w:r>
      <w:hyperlink r:id="rId9" w:history="1">
        <w:r w:rsidRPr="00F02483">
          <w:rPr>
            <w:rStyle w:val="Hyperlink"/>
            <w:lang w:val="en-US"/>
          </w:rPr>
          <w:t>https://www.bera.ac.uk/publication/learning-from-variation</w:t>
        </w:r>
      </w:hyperlink>
      <w:r w:rsidRPr="00F02483">
        <w:rPr>
          <w:lang w:val="en-US"/>
        </w:rPr>
        <w:t xml:space="preserve"> </w:t>
      </w:r>
    </w:p>
    <w:p w14:paraId="19F36FF9" w14:textId="77777777" w:rsidR="00F02483" w:rsidRPr="00F02483" w:rsidRDefault="00F02483" w:rsidP="00F02483">
      <w:pPr>
        <w:spacing w:line="288" w:lineRule="auto"/>
      </w:pPr>
      <w:r w:rsidRPr="00F02483">
        <w:rPr>
          <w:b/>
          <w:lang w:val="en-US"/>
        </w:rPr>
        <w:t xml:space="preserve">Trundley R. and Williams, H. J. (2020). </w:t>
      </w:r>
      <w:r w:rsidRPr="00F02483">
        <w:rPr>
          <w:lang w:val="en-US"/>
        </w:rPr>
        <w:t xml:space="preserve">‘Cardinality Revisited: </w:t>
      </w:r>
      <w:proofErr w:type="spellStart"/>
      <w:r w:rsidRPr="00F02483">
        <w:rPr>
          <w:lang w:val="en-US"/>
        </w:rPr>
        <w:t>Recognising</w:t>
      </w:r>
      <w:proofErr w:type="spellEnd"/>
      <w:r w:rsidRPr="00F02483">
        <w:rPr>
          <w:lang w:val="en-US"/>
        </w:rPr>
        <w:t xml:space="preserve">, understanding and trusting values’. </w:t>
      </w:r>
      <w:r w:rsidRPr="00F02483">
        <w:rPr>
          <w:i/>
          <w:iCs/>
          <w:lang w:val="en-US"/>
        </w:rPr>
        <w:t xml:space="preserve">Mathematics Teaching </w:t>
      </w:r>
      <w:r w:rsidRPr="00F02483">
        <w:rPr>
          <w:lang w:val="en-US"/>
        </w:rPr>
        <w:t>270: 14-16. Derby: ATM</w:t>
      </w:r>
    </w:p>
    <w:p w14:paraId="2B1B56EF" w14:textId="77777777" w:rsidR="00F02483" w:rsidRPr="00F02483" w:rsidRDefault="00F02483" w:rsidP="00F02483">
      <w:pPr>
        <w:spacing w:line="288" w:lineRule="auto"/>
      </w:pPr>
      <w:r w:rsidRPr="00F02483">
        <w:rPr>
          <w:b/>
          <w:lang w:val="en-US"/>
        </w:rPr>
        <w:t xml:space="preserve">Williams, H.J. (2020). </w:t>
      </w:r>
      <w:r w:rsidRPr="00F02483">
        <w:rPr>
          <w:lang w:val="en-US"/>
        </w:rPr>
        <w:t xml:space="preserve">Mathematics in the early years: What matters? </w:t>
      </w:r>
      <w:r w:rsidRPr="00F02483">
        <w:rPr>
          <w:i/>
          <w:iCs/>
          <w:lang w:val="en-US"/>
        </w:rPr>
        <w:t xml:space="preserve">Impact Journal of the Chartered College of Teaching. </w:t>
      </w:r>
      <w:r w:rsidRPr="00F02483">
        <w:rPr>
          <w:lang w:val="en-US"/>
        </w:rPr>
        <w:t xml:space="preserve"> </w:t>
      </w:r>
      <w:hyperlink r:id="rId10" w:history="1">
        <w:r w:rsidRPr="00F02483">
          <w:rPr>
            <w:rStyle w:val="Hyperlink"/>
            <w:lang w:val="en-US"/>
          </w:rPr>
          <w:t>https://impact.chartered.college/article/mathematics-in-early-years/</w:t>
        </w:r>
      </w:hyperlink>
      <w:r w:rsidRPr="00F02483">
        <w:rPr>
          <w:lang w:val="en-US"/>
        </w:rPr>
        <w:t xml:space="preserve"> </w:t>
      </w:r>
    </w:p>
    <w:p w14:paraId="46BB7F8A" w14:textId="17F6C910" w:rsidR="000A499D" w:rsidRPr="000A499D" w:rsidRDefault="000A499D" w:rsidP="000A499D">
      <w:pPr>
        <w:spacing w:line="288" w:lineRule="auto"/>
      </w:pPr>
      <w:r w:rsidRPr="000A499D">
        <w:rPr>
          <w:b/>
        </w:rPr>
        <w:t xml:space="preserve">Williams, H. </w:t>
      </w:r>
      <w:r>
        <w:rPr>
          <w:b/>
        </w:rPr>
        <w:t>(</w:t>
      </w:r>
      <w:r w:rsidRPr="000A499D">
        <w:rPr>
          <w:b/>
        </w:rPr>
        <w:t>2021</w:t>
      </w:r>
      <w:r>
        <w:rPr>
          <w:b/>
        </w:rPr>
        <w:t xml:space="preserve">) </w:t>
      </w:r>
      <w:hyperlink r:id="rId11" w:history="1">
        <w:r w:rsidRPr="000A499D">
          <w:rPr>
            <w:rStyle w:val="Hyperlink"/>
          </w:rPr>
          <w:t>Automatic recall and executive function</w:t>
        </w:r>
      </w:hyperlink>
      <w:r w:rsidRPr="000A499D">
        <w:t xml:space="preserve"> MT277 ATM</w:t>
      </w:r>
    </w:p>
    <w:p w14:paraId="52E2E07F" w14:textId="77777777" w:rsidR="00F02483" w:rsidRPr="00F02483" w:rsidRDefault="002E5E23" w:rsidP="00F02483">
      <w:pPr>
        <w:spacing w:line="288" w:lineRule="auto"/>
      </w:pPr>
      <w:hyperlink r:id="rId12" w:history="1">
        <w:r w:rsidR="00F02483" w:rsidRPr="00F02483">
          <w:rPr>
            <w:rStyle w:val="Hyperlink"/>
            <w:lang w:val="en-US"/>
          </w:rPr>
          <w:t>https://www.ncetm.org.uk/in-the-classroom/early-years/</w:t>
        </w:r>
      </w:hyperlink>
      <w:r w:rsidR="00F02483" w:rsidRPr="00F02483">
        <w:rPr>
          <w:lang w:val="en-US"/>
        </w:rPr>
        <w:t xml:space="preserve"> </w:t>
      </w:r>
    </w:p>
    <w:p w14:paraId="64CB4186" w14:textId="77777777" w:rsidR="00F02483" w:rsidRPr="00F02483" w:rsidRDefault="002E5E23" w:rsidP="00F02483">
      <w:pPr>
        <w:spacing w:line="288" w:lineRule="auto"/>
      </w:pPr>
      <w:hyperlink r:id="rId13" w:history="1">
        <w:r w:rsidR="00F02483" w:rsidRPr="00F02483">
          <w:rPr>
            <w:rStyle w:val="Hyperlink"/>
            <w:lang w:val="en-US"/>
          </w:rPr>
          <w:t>https://earlymaths.org</w:t>
        </w:r>
      </w:hyperlink>
      <w:r w:rsidR="00F02483" w:rsidRPr="00F02483">
        <w:rPr>
          <w:lang w:val="en-US"/>
        </w:rPr>
        <w:t xml:space="preserve"> </w:t>
      </w:r>
    </w:p>
    <w:p w14:paraId="649DA644" w14:textId="5B5E4821" w:rsidR="00F02483" w:rsidRDefault="002E5E23" w:rsidP="00F02483">
      <w:pPr>
        <w:spacing w:line="288" w:lineRule="auto"/>
        <w:rPr>
          <w:lang w:val="en-US"/>
        </w:rPr>
      </w:pPr>
      <w:hyperlink r:id="rId14" w:history="1">
        <w:r w:rsidR="00F02483" w:rsidRPr="00F02483">
          <w:rPr>
            <w:rStyle w:val="Hyperlink"/>
            <w:lang w:val="en-US"/>
          </w:rPr>
          <w:t>https://nrich.maths.org/early-years</w:t>
        </w:r>
      </w:hyperlink>
      <w:r w:rsidR="00F02483" w:rsidRPr="00F02483">
        <w:rPr>
          <w:lang w:val="en-US"/>
        </w:rPr>
        <w:t xml:space="preserve"> </w:t>
      </w:r>
    </w:p>
    <w:p w14:paraId="15D3C10A" w14:textId="77777777" w:rsidR="000A499D" w:rsidRPr="000A499D" w:rsidRDefault="002E5E23" w:rsidP="000A499D">
      <w:pPr>
        <w:spacing w:line="288" w:lineRule="auto"/>
      </w:pPr>
      <w:hyperlink r:id="rId15" w:history="1">
        <w:r w:rsidR="000A499D" w:rsidRPr="000A499D">
          <w:rPr>
            <w:rStyle w:val="Hyperlink"/>
            <w:lang w:val="en-US"/>
          </w:rPr>
          <w:t>http://ntimages.weebly.com/photos.html</w:t>
        </w:r>
      </w:hyperlink>
      <w:r w:rsidR="000A499D" w:rsidRPr="000A499D">
        <w:rPr>
          <w:lang w:val="en-US"/>
        </w:rPr>
        <w:t xml:space="preserve"> </w:t>
      </w:r>
    </w:p>
    <w:p w14:paraId="74429A38" w14:textId="6C7B6021" w:rsidR="002811FD" w:rsidRPr="0087489F" w:rsidRDefault="002811FD" w:rsidP="00F02483">
      <w:pPr>
        <w:spacing w:line="288" w:lineRule="auto"/>
      </w:pPr>
    </w:p>
    <w:sectPr w:rsidR="002811FD" w:rsidRPr="0087489F" w:rsidSect="00FB4980">
      <w:headerReference w:type="default" r:id="rId16"/>
      <w:headerReference w:type="first" r:id="rId17"/>
      <w:pgSz w:w="11906" w:h="16838"/>
      <w:pgMar w:top="1702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D8A8" w14:textId="77777777" w:rsidR="00ED7DDA" w:rsidRDefault="00ED7DDA" w:rsidP="00ED7DDA">
      <w:pPr>
        <w:spacing w:before="0" w:line="240" w:lineRule="auto"/>
      </w:pPr>
      <w:r>
        <w:separator/>
      </w:r>
    </w:p>
  </w:endnote>
  <w:endnote w:type="continuationSeparator" w:id="0">
    <w:p w14:paraId="483BA67E" w14:textId="77777777" w:rsidR="00ED7DDA" w:rsidRDefault="00ED7DDA" w:rsidP="00ED7D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EE60" w14:textId="77777777" w:rsidR="00ED7DDA" w:rsidRDefault="00ED7DDA" w:rsidP="00ED7DDA">
      <w:pPr>
        <w:spacing w:before="0" w:line="240" w:lineRule="auto"/>
      </w:pPr>
      <w:r>
        <w:separator/>
      </w:r>
    </w:p>
  </w:footnote>
  <w:footnote w:type="continuationSeparator" w:id="0">
    <w:p w14:paraId="52DE4ECE" w14:textId="77777777" w:rsidR="00ED7DDA" w:rsidRDefault="00ED7DDA" w:rsidP="00ED7D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3A29" w14:textId="77777777" w:rsidR="00984AF9" w:rsidRDefault="00ED7DDA">
    <w:pPr>
      <w:pStyle w:val="Header"/>
    </w:pPr>
    <w:r>
      <w:rPr>
        <w:color w:val="2B579A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7CA685BE" wp14:editId="1B65C5E2">
          <wp:simplePos x="0" y="0"/>
          <wp:positionH relativeFrom="column">
            <wp:posOffset>-285750</wp:posOffset>
          </wp:positionH>
          <wp:positionV relativeFrom="paragraph">
            <wp:posOffset>94615</wp:posOffset>
          </wp:positionV>
          <wp:extent cx="1888490" cy="4775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B579A"/>
        <w:shd w:val="clear" w:color="auto" w:fill="E6E6E6"/>
      </w:rPr>
      <w:drawing>
        <wp:anchor distT="0" distB="0" distL="114300" distR="114300" simplePos="0" relativeHeight="251663360" behindDoc="0" locked="0" layoutInCell="1" allowOverlap="1" wp14:anchorId="2A652C52" wp14:editId="066208A1">
          <wp:simplePos x="0" y="0"/>
          <wp:positionH relativeFrom="column">
            <wp:posOffset>3981450</wp:posOffset>
          </wp:positionH>
          <wp:positionV relativeFrom="paragraph">
            <wp:posOffset>18415</wp:posOffset>
          </wp:positionV>
          <wp:extent cx="2072005" cy="471805"/>
          <wp:effectExtent l="0" t="0" r="4445" b="444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6699" w14:textId="1AFA113E" w:rsidR="00A17C71" w:rsidRDefault="00F84ADA">
    <w:pPr>
      <w:pStyle w:val="Header"/>
    </w:pPr>
    <w:r>
      <w:rPr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47FC73A5" wp14:editId="06743531">
          <wp:simplePos x="0" y="0"/>
          <wp:positionH relativeFrom="column">
            <wp:posOffset>3743325</wp:posOffset>
          </wp:positionH>
          <wp:positionV relativeFrom="paragraph">
            <wp:posOffset>-2540</wp:posOffset>
          </wp:positionV>
          <wp:extent cx="2072005" cy="471805"/>
          <wp:effectExtent l="0" t="0" r="4445" b="4445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0"/>
    <w:rsid w:val="00014EE6"/>
    <w:rsid w:val="00052321"/>
    <w:rsid w:val="000A499D"/>
    <w:rsid w:val="000E60B5"/>
    <w:rsid w:val="0014643E"/>
    <w:rsid w:val="0022097C"/>
    <w:rsid w:val="00261C81"/>
    <w:rsid w:val="002811FD"/>
    <w:rsid w:val="002D345D"/>
    <w:rsid w:val="002E5E23"/>
    <w:rsid w:val="003004DB"/>
    <w:rsid w:val="00454228"/>
    <w:rsid w:val="007D28E7"/>
    <w:rsid w:val="0087489F"/>
    <w:rsid w:val="008761B0"/>
    <w:rsid w:val="009D2584"/>
    <w:rsid w:val="00B52660"/>
    <w:rsid w:val="00B86DF2"/>
    <w:rsid w:val="00BE20C3"/>
    <w:rsid w:val="00D109BD"/>
    <w:rsid w:val="00D87E16"/>
    <w:rsid w:val="00DF5E84"/>
    <w:rsid w:val="00E368BA"/>
    <w:rsid w:val="00E922AD"/>
    <w:rsid w:val="00ED7DDA"/>
    <w:rsid w:val="00F02483"/>
    <w:rsid w:val="00F84ADA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761FF5"/>
  <w15:chartTrackingRefBased/>
  <w15:docId w15:val="{C3DFB28A-49C9-41B0-877F-B582B76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py"/>
    <w:qFormat/>
    <w:rsid w:val="00B52660"/>
    <w:pPr>
      <w:spacing w:before="230" w:after="0" w:line="230" w:lineRule="atLeast"/>
    </w:pPr>
    <w:rPr>
      <w:rFonts w:eastAsia="Times New Roman" w:cs="Arial"/>
      <w:bCs/>
      <w:color w:val="595959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660"/>
    <w:pPr>
      <w:tabs>
        <w:tab w:val="center" w:pos="4153"/>
        <w:tab w:val="right" w:pos="8306"/>
      </w:tabs>
      <w:spacing w:before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52660"/>
    <w:rPr>
      <w:rFonts w:eastAsia="Times New Roman" w:cs="Arial"/>
      <w:bCs/>
      <w:noProof/>
      <w:color w:val="595959"/>
      <w:szCs w:val="40"/>
      <w:lang w:eastAsia="en-GB"/>
    </w:rPr>
  </w:style>
  <w:style w:type="paragraph" w:styleId="Footer">
    <w:name w:val="footer"/>
    <w:basedOn w:val="Normal"/>
    <w:link w:val="FooterChar"/>
    <w:uiPriority w:val="99"/>
    <w:rsid w:val="00B5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60"/>
    <w:rPr>
      <w:rFonts w:eastAsia="Times New Roman" w:cs="Arial"/>
      <w:bCs/>
      <w:color w:val="595959"/>
      <w:szCs w:val="40"/>
      <w:lang w:eastAsia="en-GB"/>
    </w:rPr>
  </w:style>
  <w:style w:type="table" w:styleId="TableGrid">
    <w:name w:val="Table Grid"/>
    <w:basedOn w:val="TableNormal"/>
    <w:uiPriority w:val="59"/>
    <w:rsid w:val="00B5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D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DF2"/>
    <w:rPr>
      <w:rFonts w:eastAsia="Times New Roman" w:cs="Arial"/>
      <w:bCs/>
      <w:color w:val="595959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F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F2"/>
    <w:rPr>
      <w:rFonts w:eastAsia="Times New Roman" w:cs="Arial"/>
      <w:b/>
      <w:bCs/>
      <w:color w:val="595959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F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F2"/>
    <w:rPr>
      <w:rFonts w:ascii="Segoe UI" w:eastAsia="Times New Roman" w:hAnsi="Segoe UI" w:cs="Segoe UI"/>
      <w:bCs/>
      <w:color w:val="595959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7D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0B5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6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1527" TargetMode="External"/><Relationship Id="rId13" Type="http://schemas.openxmlformats.org/officeDocument/2006/relationships/hyperlink" Target="https://earlymaths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tm.org/Publications/Teaching-Children-Mathematics/2019/Vol25/Issue7/Double-Impact_-Mathematics-and-Executive-Function/" TargetMode="External"/><Relationship Id="rId12" Type="http://schemas.openxmlformats.org/officeDocument/2006/relationships/hyperlink" Target="https://www.ncetm.org.uk/in-the-classroom/early-years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arlyeducatorcentral.acf.hhs.gov/sites/default/files/public/resources/The%20Building%20Blocks%20of%20Mathematics%20for%20Infants%20and%20Toddlers.pdf" TargetMode="External"/><Relationship Id="rId11" Type="http://schemas.openxmlformats.org/officeDocument/2006/relationships/hyperlink" Target="https://www.atm.org.uk/write/MediaUploads/Journals/MT277/02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timages.weebly.com/photos.html" TargetMode="External"/><Relationship Id="rId10" Type="http://schemas.openxmlformats.org/officeDocument/2006/relationships/hyperlink" Target="https://impact.chartered.college/article/mathematics-in-early-year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ra.ac.uk/publication/learning-from-variation" TargetMode="External"/><Relationship Id="rId14" Type="http://schemas.openxmlformats.org/officeDocument/2006/relationships/hyperlink" Target="https://nrich.maths.org/early-yea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Trundley, Dr Ruth</dc:creator>
  <cp:keywords/>
  <dc:description/>
  <cp:lastModifiedBy>Trundley, Dr Ruth</cp:lastModifiedBy>
  <cp:revision>3</cp:revision>
  <cp:lastPrinted>2021-08-26T10:22:00Z</cp:lastPrinted>
  <dcterms:created xsi:type="dcterms:W3CDTF">2021-12-01T17:06:00Z</dcterms:created>
  <dcterms:modified xsi:type="dcterms:W3CDTF">2021-12-01T17:07:00Z</dcterms:modified>
</cp:coreProperties>
</file>